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绵阳光子科创产业发展有限责任公司公开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员工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职位需求表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第二批次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val="en-US" w:eastAsia="zh-CN"/>
        </w:rPr>
        <w:t>中层岗位：年龄原则上不超过45周岁，年龄计算截至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val="en-US" w:eastAsia="zh-CN"/>
        </w:rPr>
        <w:t>全日制本科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</w:rPr>
        <w:t>及以上学历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2"/>
          <w:szCs w:val="22"/>
          <w:lang w:val="en-US" w:eastAsia="zh-CN" w:bidi="ar"/>
        </w:rPr>
        <w:t>普通岗位：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val="en-US" w:eastAsia="zh-CN"/>
        </w:rPr>
        <w:t>年龄原则上不超过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val="en-US" w:eastAsia="zh-CN"/>
        </w:rPr>
        <w:t>周岁，年龄计算截至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val="en-US" w:eastAsia="zh-CN"/>
        </w:rPr>
        <w:t>全日制本科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</w:rPr>
        <w:t>及以上学历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eastAsia="zh-CN"/>
        </w:rPr>
        <w:t>。</w:t>
      </w:r>
    </w:p>
    <w:tbl>
      <w:tblPr>
        <w:tblStyle w:val="4"/>
        <w:tblW w:w="15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88"/>
        <w:gridCol w:w="579"/>
        <w:gridCol w:w="666"/>
        <w:gridCol w:w="645"/>
        <w:gridCol w:w="1039"/>
        <w:gridCol w:w="1215"/>
        <w:gridCol w:w="5978"/>
        <w:gridCol w:w="4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岗位需求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5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  <w:vertAlign w:val="baseline"/>
                <w:lang w:eastAsia="zh-CN"/>
              </w:rPr>
              <w:t>任职资格条件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485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A-1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激光事业部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中层管理岗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牵头编制激光产业招商图谱，结合区域产业链规划制定年度招商计划，明确重点领域目标企业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对接发改、工信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部门，争取产业扶持政策，强化对龙头企业的吸引力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3.牵头共建“产业+高校研究院”平台，推动激光领域科研成果向现实生产力高效转化；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4.建立健全项目风险评估机制，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主导项目尽调、谈判及落地协调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2.具备良好的团队管理和技术指导能力，能独立完成技术方案编制和评审；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3.具有激光、微波、粒子束、电子信息、数字技术、芯片产业、软件开发等相关领域工作经历，具有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2年及以上团队管理经验。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695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A-2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激光事业部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普通职员岗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1.协助领导完成招商图谱绘制、计划编制，建立项目风险评估机制；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2.负责招商材料编制、建立动态招商台账、对接潜在客户，协助组织招商洽谈会，提供政策解读，记录企业诉求，联动政府解决招引堵点，协助推动企业注册、落地；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3.建立企业回访机制，收集技术改造、市场拓展需求，协调区内配套资源，促成二次投资或上下游产业链推进；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2.掌握项目技术管理流程和规范、项目技术文档管理，具备相关行业技术经验；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3.具有激光、微波、粒子束、电子信息、数字技术、芯片产业、软件开发等相关领域2年及以上相关工作经历。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1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B-1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微波事业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中层管理岗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牵头编制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微波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产业招商图谱，结合区域产业链规划制定年度招商计划，明确重点领域目标企业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对接发改、工信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部门，争取产业扶持政策，强化对龙头企业的吸引力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3.牵头共建“产业+高校研究院”平台，推动微波领域科研成果向现实生产力高效转化；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4.建立健全项目风险评估机制，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主导项目尽调、谈判及落地协调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2.具备良好的团队管理和技术指导能力，能独立完成技术方案编制和评审；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3.具有激光、微波、粒子束、电子信息、数字技术、芯片产业、软件开发等相关领域工作经历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2年及以上团队管理经验。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04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B-2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微波事业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普通职员岗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1.协助领导完成招商图谱绘制、计划编制，建立项目风险评估机制；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2.负责招商材料编制、建立动态招商台账、对接潜在客户，协助组织招商洽谈会，提供政策解读，记录企业诉求，联动政府解决招引堵点，协助推动企业注册、落地；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3.建立企业回访机制，收集技术改造、市场拓展需求，协调区内配套资源，促成二次投资或上下游产业链推进；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2.掌握项目技术管理流程和规范、项目技术文档管理，具备相关行业技术经验；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3.具有激光、微波、粒子束、电子信息、数字技术、芯片产业、软件开发等相关领域2年及以上相关工作经历。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59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C-1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粒子束事业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中层管理岗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牵头编制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粒子束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产业招商图谱，结合区域产业链规划制定年度招商计划，明确重点领域目标企业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对接发改、工信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部门，争取产业扶持政策，强化对龙头企业的吸引力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3.牵头共建“产业+高校研究院”平台，推动粒子束领域科研成果向现实生产力高效转化；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4.建立健全项目风险评估机制，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主导项目尽调、谈判及落地协调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2.具备良好的团队管理和技术指导能力，能独立完成技术方案编制和评审；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3.具有激光、微波、粒子束、电子信息、数字技术、芯片产业、软件开发等相关领域工作经历，具有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2年及以上团队管理经验。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00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C-2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粒子束事业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普通职员岗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1.协助领导完成招商图谱绘制、计划编制，建立项目风险评估机制；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2.负责招商材料编制、建立动态招商台账、对接潜在客户，协助组织招商洽谈会，提供政策解读，记录企业诉求，联动政府解决招引堵点，协助推动企业注册、落地；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3.建立企业回访机制，收集技术改造、市场拓展需求，协调区内配套资源，促成二次投资或上下游产业链推进；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2.掌握项目技术管理流程和规范、项目技术文档管理，具备相关行业技术经验；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3.具有激光、微波、粒子束、电子信息、数字技术、芯片产业、软件开发等相关领域2年及以上相关工作经历。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71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科创事业部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普通职员岗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金融类、工程类、建筑类、法律类、经济类等相关专业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>
            <w:pPr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1.协助领导完成公司投融资战略、年度计划及中长期规划，负责项目的前期实施、运营管理、后期评估与绩效分析；</w:t>
            </w:r>
          </w:p>
          <w:p>
            <w:pPr>
              <w:snapToGrid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2.收集、整理相关行业及市场数据，完成项目筛选、尽职调查、立项准备、可行性报告编制，方案制定等工作；</w:t>
            </w:r>
          </w:p>
          <w:p>
            <w:pPr>
              <w:snapToGrid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3.维护投融资项目档案，包括合同协议、审批文件、财务报表等，确保档案完整合规；</w:t>
            </w:r>
          </w:p>
          <w:p>
            <w:pPr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1.具备投融资相关工作经历；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2.熟悉投融资运营管理流程和规范；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3.对公司相关业务领域具备一定的基础知识，能理解行业技术逻辑和市场特点；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4.具有激光、微波、粒子束、电子信息、数字技术、芯片产业、软件开发等领域2年及以上相关工作经历；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5.具有市、县、区国有企业相关工作经验的人员优先。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7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E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合规部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中层管理岗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法学、经济学、工商管理、工程管理等相关专业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>
            <w:pPr>
              <w:numPr>
                <w:ilvl w:val="-1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1.制定合规政策、合同文本，跟踪法规变动，参与重大合同谈判审核；开展合规审查，提供法律支持，管控重大经营行为风险；</w:t>
            </w:r>
          </w:p>
          <w:p>
            <w:pPr>
              <w:numPr>
                <w:ilvl w:val="-1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2.制定采购制度流程，实施采购计划，管理供应商、谈判合同、控制成本；</w:t>
            </w:r>
          </w:p>
          <w:p>
            <w:pPr>
              <w:numPr>
                <w:ilvl w:val="-1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3.组织招标评审及合同签订，监督采购执行与合规性。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1.具有金融类、准金融类、投资类法律从业经历，熟悉经济、建筑、投资类相关法律法规，熟悉金融行业监管政策，具有金融方面知识储备；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2.取得国家统一法律职业资格或具有国有企业相关岗位、司法机构从业经历者；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3.熟悉国家宏观经济政策、相关法律法规和行业知识，熟悉国资监管和国企改革工作，具有履行岗位职责所必需的专业知识；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4.具有3年以上的包括但不限于金融、基金、法律等方面专业经验或相关专长。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sectPr>
          <w:pgSz w:w="16838" w:h="11906" w:orient="landscape"/>
          <w:pgMar w:top="1531" w:right="1440" w:bottom="1134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YTNjZGMxZWI4NjlmZGU3ZmNhODViZGEyM2U2ODYifQ=="/>
  </w:docVars>
  <w:rsids>
    <w:rsidRoot w:val="567F3E8A"/>
    <w:rsid w:val="567F3E8A"/>
    <w:rsid w:val="621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afterLines="0" w:afterAutospacing="0" w:line="480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2025-12-09T06:57:00Z</dcterms:created>
  <dc:creator>。。。</dc:creator>
  <cp:lastModifiedBy>。。。</cp:lastModifiedBy>
  <dcterms:modified xsi:type="dcterms:W3CDTF">2025-12-09T06:57:51Z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55983C1D83FA4AFE8D76D5ADE87A9BEB_11</vt:lpwstr>
  </property>
</Properties>
</file>